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AABE2" w14:textId="0D320551" w:rsidR="0015696D" w:rsidRPr="00E13E04" w:rsidRDefault="0015696D">
      <w:pPr>
        <w:jc w:val="center"/>
        <w:rPr>
          <w:rFonts w:ascii="ＭＳ ゴシック" w:eastAsia="ＭＳ ゴシック" w:hAnsi="ＭＳ ゴシック"/>
        </w:rPr>
      </w:pPr>
      <w:r w:rsidRPr="00E13E04">
        <w:rPr>
          <w:rFonts w:ascii="ＭＳ ゴシック" w:eastAsia="ＭＳ ゴシック" w:hAnsi="ＭＳ ゴシック" w:hint="eastAsia"/>
        </w:rPr>
        <w:t>社会福祉法人</w:t>
      </w:r>
      <w:r w:rsidRPr="00E13E04">
        <w:rPr>
          <w:rFonts w:ascii="ＭＳ ゴシック" w:eastAsia="ＭＳ ゴシック" w:hAnsi="ＭＳ ゴシック"/>
        </w:rPr>
        <w:fldChar w:fldCharType="begin"/>
      </w:r>
      <w:r w:rsidRPr="00E13E04">
        <w:rPr>
          <w:rFonts w:ascii="ＭＳ ゴシック" w:eastAsia="ＭＳ ゴシック" w:hAnsi="ＭＳ ゴシック"/>
        </w:rPr>
        <w:instrText xml:space="preserve"> eq \o\ad(</w:instrText>
      </w:r>
      <w:r w:rsidRPr="00E13E04">
        <w:rPr>
          <w:rFonts w:ascii="ＭＳ ゴシック" w:eastAsia="ＭＳ ゴシック" w:hAnsi="ＭＳ ゴシック" w:hint="eastAsia"/>
        </w:rPr>
        <w:instrText>沖縄県共同募金会配分要領</w:instrText>
      </w:r>
      <w:r w:rsidRPr="00E13E04">
        <w:rPr>
          <w:rFonts w:ascii="ＭＳ ゴシック" w:eastAsia="ＭＳ ゴシック" w:hAnsi="ＭＳ ゴシック"/>
        </w:rPr>
        <w:instrText>,</w:instrText>
      </w:r>
      <w:r w:rsidRPr="00E13E04">
        <w:rPr>
          <w:rFonts w:ascii="ＭＳ ゴシック" w:eastAsia="ＭＳ ゴシック" w:hAnsi="ＭＳ ゴシック" w:hint="eastAsia"/>
        </w:rPr>
        <w:instrText xml:space="preserve">　　　　　　　　　　　　　　　</w:instrText>
      </w:r>
      <w:r w:rsidRPr="00E13E04">
        <w:rPr>
          <w:rFonts w:ascii="ＭＳ ゴシック" w:eastAsia="ＭＳ ゴシック" w:hAnsi="ＭＳ ゴシック"/>
        </w:rPr>
        <w:instrText>)</w:instrText>
      </w:r>
      <w:r w:rsidRPr="00E13E04">
        <w:rPr>
          <w:rFonts w:ascii="ＭＳ ゴシック" w:eastAsia="ＭＳ ゴシック" w:hAnsi="ＭＳ ゴシック"/>
        </w:rPr>
        <w:fldChar w:fldCharType="end"/>
      </w:r>
    </w:p>
    <w:p w14:paraId="4A90DAB0" w14:textId="77777777" w:rsidR="0015696D" w:rsidRDefault="0015696D"/>
    <w:p w14:paraId="6CCCEBA1" w14:textId="628CECB1" w:rsidR="0015696D" w:rsidRDefault="0015696D" w:rsidP="00EC525B">
      <w:pPr>
        <w:numPr>
          <w:ilvl w:val="0"/>
          <w:numId w:val="1"/>
        </w:numPr>
        <w:ind w:left="141" w:hangingChars="67" w:hanging="141"/>
      </w:pPr>
      <w:r>
        <w:rPr>
          <w:rFonts w:hint="eastAsia"/>
        </w:rPr>
        <w:t>共同募金の配分については、</w:t>
      </w:r>
      <w:r w:rsidR="00315D45">
        <w:rPr>
          <w:rFonts w:hint="eastAsia"/>
        </w:rPr>
        <w:t>社会福祉法人</w:t>
      </w:r>
      <w:r>
        <w:rPr>
          <w:rFonts w:hint="eastAsia"/>
        </w:rPr>
        <w:t>沖縄県共同募金会</w:t>
      </w:r>
      <w:r w:rsidR="00315D45">
        <w:rPr>
          <w:rFonts w:hint="eastAsia"/>
        </w:rPr>
        <w:t>配分</w:t>
      </w:r>
      <w:r>
        <w:rPr>
          <w:rFonts w:hint="eastAsia"/>
        </w:rPr>
        <w:t>規程（以下「規程」という。）に定めるもののほか、本要領により取り扱うものとする。</w:t>
      </w:r>
    </w:p>
    <w:p w14:paraId="0118D10E" w14:textId="77777777" w:rsidR="0015696D" w:rsidRDefault="0015696D" w:rsidP="00EC525B">
      <w:pPr>
        <w:numPr>
          <w:ilvl w:val="0"/>
          <w:numId w:val="1"/>
        </w:numPr>
        <w:spacing w:beforeLines="50" w:before="180"/>
      </w:pPr>
      <w:r>
        <w:rPr>
          <w:rFonts w:hint="eastAsia"/>
        </w:rPr>
        <w:t>共同募金の配分区分は、次のとおりとする。</w:t>
      </w:r>
    </w:p>
    <w:p w14:paraId="3018BF2F" w14:textId="77777777" w:rsidR="0015696D" w:rsidRDefault="0015696D" w:rsidP="002F3E12">
      <w:pPr>
        <w:numPr>
          <w:ilvl w:val="0"/>
          <w:numId w:val="2"/>
        </w:numPr>
        <w:ind w:left="839" w:hanging="629"/>
      </w:pPr>
      <w:r>
        <w:rPr>
          <w:rFonts w:hint="eastAsia"/>
        </w:rPr>
        <w:t>市町村社会福祉協議会に対する配分</w:t>
      </w:r>
    </w:p>
    <w:p w14:paraId="406B3149" w14:textId="77777777" w:rsidR="0015696D" w:rsidRDefault="0015696D" w:rsidP="002F3E12">
      <w:pPr>
        <w:numPr>
          <w:ilvl w:val="0"/>
          <w:numId w:val="2"/>
        </w:numPr>
      </w:pPr>
      <w:r>
        <w:rPr>
          <w:rFonts w:hint="eastAsia"/>
        </w:rPr>
        <w:t>社会福祉事業施設に対する配分</w:t>
      </w:r>
    </w:p>
    <w:p w14:paraId="6B4EA03C" w14:textId="77777777" w:rsidR="0015696D" w:rsidRDefault="0015696D" w:rsidP="002F3E12">
      <w:pPr>
        <w:numPr>
          <w:ilvl w:val="0"/>
          <w:numId w:val="2"/>
        </w:numPr>
      </w:pPr>
      <w:r>
        <w:rPr>
          <w:rFonts w:hint="eastAsia"/>
        </w:rPr>
        <w:t>社会福祉団体に対する配分</w:t>
      </w:r>
    </w:p>
    <w:p w14:paraId="426616BB" w14:textId="77777777" w:rsidR="0015696D" w:rsidRDefault="0015696D" w:rsidP="002F3E12">
      <w:pPr>
        <w:numPr>
          <w:ilvl w:val="0"/>
          <w:numId w:val="2"/>
        </w:numPr>
      </w:pPr>
      <w:r>
        <w:rPr>
          <w:rFonts w:hint="eastAsia"/>
        </w:rPr>
        <w:t>更生緊急保護事業に対する配分</w:t>
      </w:r>
    </w:p>
    <w:p w14:paraId="403E41B7" w14:textId="077C5BB9" w:rsidR="0015696D" w:rsidRDefault="0015696D" w:rsidP="00EC525B">
      <w:pPr>
        <w:numPr>
          <w:ilvl w:val="0"/>
          <w:numId w:val="1"/>
        </w:numPr>
        <w:spacing w:beforeLines="50" w:before="180"/>
        <w:ind w:left="141" w:hangingChars="67" w:hanging="141"/>
      </w:pPr>
      <w:r>
        <w:rPr>
          <w:rFonts w:hint="eastAsia"/>
        </w:rPr>
        <w:t>市町村社会福祉協議会に対する配分については</w:t>
      </w:r>
      <w:r w:rsidR="00315D45">
        <w:rPr>
          <w:rFonts w:hint="eastAsia"/>
        </w:rPr>
        <w:t>、</w:t>
      </w:r>
      <w:r>
        <w:rPr>
          <w:rFonts w:hint="eastAsia"/>
        </w:rPr>
        <w:t>当分の間、共同募金配分委員会の調査審議から除くものとする。</w:t>
      </w:r>
    </w:p>
    <w:p w14:paraId="573B50E8" w14:textId="24395EEE" w:rsidR="00315D45" w:rsidRDefault="00315D45" w:rsidP="00EC525B">
      <w:pPr>
        <w:numPr>
          <w:ilvl w:val="0"/>
          <w:numId w:val="1"/>
        </w:numPr>
        <w:spacing w:beforeLines="50" w:before="180"/>
        <w:ind w:left="141" w:hangingChars="67" w:hanging="141"/>
      </w:pPr>
      <w:r>
        <w:rPr>
          <w:rFonts w:hint="eastAsia"/>
        </w:rPr>
        <w:t>規程第６条に定める経常費とは、福祉団体が行う活動に必要な運営費（機器、備品購入費を含む。）及び事業費であって、職員給料以外の経費をいう。</w:t>
      </w:r>
    </w:p>
    <w:p w14:paraId="47FB8343" w14:textId="116AF6D7" w:rsidR="00315D45" w:rsidRDefault="002F3E12" w:rsidP="00EC525B">
      <w:pPr>
        <w:numPr>
          <w:ilvl w:val="0"/>
          <w:numId w:val="1"/>
        </w:numPr>
        <w:spacing w:beforeLines="50" w:before="180"/>
        <w:ind w:left="141" w:hangingChars="67" w:hanging="141"/>
      </w:pPr>
      <w:r>
        <w:rPr>
          <w:rFonts w:hint="eastAsia"/>
        </w:rPr>
        <w:t>規程第６条第２項に定める臨時費は、次の区分により配分する。</w:t>
      </w:r>
    </w:p>
    <w:p w14:paraId="68A28F10" w14:textId="282276B2" w:rsidR="0015696D" w:rsidRDefault="0015696D" w:rsidP="00EC525B">
      <w:pPr>
        <w:numPr>
          <w:ilvl w:val="0"/>
          <w:numId w:val="8"/>
        </w:numPr>
        <w:tabs>
          <w:tab w:val="left" w:leader="middleDot" w:pos="3119"/>
        </w:tabs>
      </w:pPr>
      <w:r>
        <w:rPr>
          <w:rFonts w:hint="eastAsia"/>
        </w:rPr>
        <w:t>施設の建設整備費</w:t>
      </w:r>
      <w:r w:rsidR="00EC525B">
        <w:tab/>
      </w:r>
      <w:r>
        <w:rPr>
          <w:rFonts w:hint="eastAsia"/>
        </w:rPr>
        <w:t>施設の新築、増築、改築及び修繕に必要な経費</w:t>
      </w:r>
    </w:p>
    <w:p w14:paraId="3F573859" w14:textId="4D305DAF" w:rsidR="0015696D" w:rsidRDefault="0015696D" w:rsidP="00EC525B">
      <w:pPr>
        <w:numPr>
          <w:ilvl w:val="0"/>
          <w:numId w:val="8"/>
        </w:numPr>
        <w:tabs>
          <w:tab w:val="left" w:leader="middleDot" w:pos="3119"/>
        </w:tabs>
      </w:pPr>
      <w:r>
        <w:rPr>
          <w:rFonts w:hint="eastAsia"/>
        </w:rPr>
        <w:t>備品購入費</w:t>
      </w:r>
      <w:r w:rsidR="00EC525B">
        <w:tab/>
      </w:r>
      <w:r>
        <w:rPr>
          <w:rFonts w:hint="eastAsia"/>
        </w:rPr>
        <w:t>入所者の処遇向上に直接必要な備品及び設備費</w:t>
      </w:r>
    </w:p>
    <w:p w14:paraId="3C310CB0" w14:textId="5386E64E" w:rsidR="0015696D" w:rsidRDefault="0015696D" w:rsidP="00EC525B">
      <w:pPr>
        <w:numPr>
          <w:ilvl w:val="0"/>
          <w:numId w:val="8"/>
        </w:numPr>
        <w:tabs>
          <w:tab w:val="left" w:leader="middleDot" w:pos="3119"/>
        </w:tabs>
      </w:pPr>
      <w:r>
        <w:rPr>
          <w:rFonts w:hint="eastAsia"/>
        </w:rPr>
        <w:t>環境整備費</w:t>
      </w:r>
      <w:r w:rsidR="00EC525B">
        <w:tab/>
      </w:r>
      <w:r>
        <w:rPr>
          <w:rFonts w:hint="eastAsia"/>
        </w:rPr>
        <w:t>入所者の処遇及びその管理上必要な事業費であって、敷地造成費を除いた経費</w:t>
      </w:r>
    </w:p>
    <w:p w14:paraId="3405CA15" w14:textId="26D0139D" w:rsidR="0015696D" w:rsidRDefault="0015696D" w:rsidP="00EC525B">
      <w:pPr>
        <w:numPr>
          <w:ilvl w:val="0"/>
          <w:numId w:val="1"/>
        </w:numPr>
        <w:spacing w:beforeLines="50" w:before="180"/>
        <w:ind w:left="141" w:hangingChars="67" w:hanging="141"/>
      </w:pPr>
      <w:r>
        <w:rPr>
          <w:rFonts w:hint="eastAsia"/>
        </w:rPr>
        <w:t>天災地変等により入所者の安全上緊急に必要な場合において、前項以外の経費についても配分することができる。</w:t>
      </w:r>
    </w:p>
    <w:p w14:paraId="6741C016" w14:textId="29B97844" w:rsidR="0015696D" w:rsidRDefault="0015696D" w:rsidP="00EC525B">
      <w:pPr>
        <w:numPr>
          <w:ilvl w:val="0"/>
          <w:numId w:val="1"/>
        </w:numPr>
        <w:spacing w:beforeLines="50" w:before="180"/>
        <w:ind w:left="141" w:hangingChars="67" w:hanging="141"/>
      </w:pPr>
      <w:r>
        <w:rPr>
          <w:rFonts w:hint="eastAsia"/>
        </w:rPr>
        <w:t>配分金額は、社会福祉協議会を除き一施設・団体あたり年間５００万円を限度額とし、配分対象事業費の１０分の９以内とする。ただし、特に必要があると認める場合及び社会福祉協議会については１０分の１０以内を配分することができる。</w:t>
      </w:r>
    </w:p>
    <w:p w14:paraId="33E202CD" w14:textId="77777777" w:rsidR="0015696D" w:rsidRDefault="0015696D" w:rsidP="00EC525B">
      <w:pPr>
        <w:numPr>
          <w:ilvl w:val="0"/>
          <w:numId w:val="1"/>
        </w:numPr>
        <w:spacing w:beforeLines="50" w:before="180"/>
        <w:ind w:left="141" w:hangingChars="67" w:hanging="141"/>
      </w:pPr>
      <w:r>
        <w:rPr>
          <w:rFonts w:hint="eastAsia"/>
        </w:rPr>
        <w:t>配分金額を交付するに当たっては、受配者に対し必要な条件を付すことができる。</w:t>
      </w:r>
    </w:p>
    <w:p w14:paraId="05786268" w14:textId="77777777" w:rsidR="0015696D" w:rsidRDefault="0015696D" w:rsidP="00EC525B">
      <w:pPr>
        <w:numPr>
          <w:ilvl w:val="0"/>
          <w:numId w:val="1"/>
        </w:numPr>
        <w:spacing w:beforeLines="50" w:before="180"/>
        <w:ind w:left="141" w:hangingChars="67" w:hanging="141"/>
      </w:pPr>
      <w:r>
        <w:rPr>
          <w:rFonts w:hint="eastAsia"/>
        </w:rPr>
        <w:t>本配分要領は、昭和６０年度事業に要する配分金から適用する。</w:t>
      </w:r>
    </w:p>
    <w:p w14:paraId="6F09EF8D" w14:textId="2B872C29" w:rsidR="0015696D" w:rsidRDefault="0015696D" w:rsidP="00EC525B">
      <w:pPr>
        <w:numPr>
          <w:ilvl w:val="0"/>
          <w:numId w:val="1"/>
        </w:numPr>
        <w:spacing w:beforeLines="50" w:before="180"/>
        <w:ind w:left="141" w:hangingChars="67" w:hanging="141"/>
      </w:pPr>
      <w:r>
        <w:rPr>
          <w:rFonts w:hint="eastAsia"/>
        </w:rPr>
        <w:t>平成元年３月１７日委員会確認</w:t>
      </w:r>
    </w:p>
    <w:p w14:paraId="5A7564B1" w14:textId="4B477EE0" w:rsidR="0015696D" w:rsidRDefault="0015696D" w:rsidP="00C31513">
      <w:pPr>
        <w:ind w:leftChars="100" w:left="210" w:firstLineChars="100" w:firstLine="210"/>
      </w:pPr>
      <w:r>
        <w:rPr>
          <w:rFonts w:hint="eastAsia"/>
        </w:rPr>
        <w:t>剰余金が３，０００万円以上ある施設は、当該申請事業への剰余金の活用が可能な場合は原則として配分対象としない。</w:t>
      </w:r>
    </w:p>
    <w:p w14:paraId="1EED0BC0" w14:textId="44F25506" w:rsidR="0015696D" w:rsidRDefault="0015696D" w:rsidP="00EC525B">
      <w:pPr>
        <w:numPr>
          <w:ilvl w:val="0"/>
          <w:numId w:val="1"/>
        </w:numPr>
        <w:spacing w:beforeLines="50" w:before="180"/>
        <w:ind w:left="141" w:hangingChars="67" w:hanging="141"/>
      </w:pPr>
      <w:r>
        <w:rPr>
          <w:rFonts w:hint="eastAsia"/>
        </w:rPr>
        <w:t>平成４年３月１３日委員会確認</w:t>
      </w:r>
    </w:p>
    <w:p w14:paraId="06E88C76" w14:textId="2CA5638A" w:rsidR="0015696D" w:rsidRDefault="0015696D" w:rsidP="00C31513">
      <w:pPr>
        <w:pStyle w:val="a7"/>
        <w:numPr>
          <w:ilvl w:val="0"/>
          <w:numId w:val="11"/>
        </w:numPr>
        <w:ind w:leftChars="0"/>
      </w:pPr>
      <w:r>
        <w:rPr>
          <w:rFonts w:hint="eastAsia"/>
        </w:rPr>
        <w:t>公費補助金の補助対象事業費に対し、共同募金の配分を可能とする。</w:t>
      </w:r>
    </w:p>
    <w:p w14:paraId="226137D4" w14:textId="494389F7" w:rsidR="0015696D" w:rsidRDefault="0015696D" w:rsidP="00C31513">
      <w:pPr>
        <w:pStyle w:val="a7"/>
        <w:numPr>
          <w:ilvl w:val="0"/>
          <w:numId w:val="11"/>
        </w:numPr>
        <w:ind w:leftChars="0"/>
      </w:pPr>
      <w:r>
        <w:rPr>
          <w:rFonts w:hint="eastAsia"/>
        </w:rPr>
        <w:t>委託事業の場合は、共同募金の配分対象としない。</w:t>
      </w:r>
    </w:p>
    <w:p w14:paraId="1FDB4566" w14:textId="77777777" w:rsidR="00EC525B" w:rsidRDefault="00EC525B">
      <w:pPr>
        <w:widowControl/>
        <w:jc w:val="left"/>
      </w:pPr>
      <w:r>
        <w:br w:type="page"/>
      </w:r>
    </w:p>
    <w:p w14:paraId="06A772E5" w14:textId="6A96377A" w:rsidR="0015696D" w:rsidRDefault="0015696D">
      <w:pPr>
        <w:jc w:val="center"/>
      </w:pPr>
      <w:r>
        <w:rPr>
          <w:rFonts w:hint="eastAsia"/>
        </w:rPr>
        <w:lastRenderedPageBreak/>
        <w:t>社会福祉法人</w:t>
      </w:r>
      <w:r>
        <w:fldChar w:fldCharType="begin"/>
      </w:r>
      <w:r>
        <w:instrText xml:space="preserve"> eq \o\ad(</w:instrText>
      </w:r>
      <w:r>
        <w:rPr>
          <w:rFonts w:hint="eastAsia"/>
        </w:rPr>
        <w:instrText>沖縄県共同募金配分交付条件</w:instrText>
      </w:r>
      <w:r>
        <w:instrText>,</w:instrText>
      </w:r>
      <w:r>
        <w:rPr>
          <w:rFonts w:hint="eastAsia"/>
        </w:rPr>
        <w:instrText xml:space="preserve">　　　　　　　　　　　　　　　</w:instrText>
      </w:r>
      <w:r>
        <w:instrText>)</w:instrText>
      </w:r>
      <w:r>
        <w:fldChar w:fldCharType="end"/>
      </w:r>
    </w:p>
    <w:p w14:paraId="48246B70" w14:textId="77777777" w:rsidR="0015696D" w:rsidRDefault="0015696D"/>
    <w:p w14:paraId="383A8F9D" w14:textId="0E45E08E" w:rsidR="0015696D" w:rsidRDefault="0015696D" w:rsidP="00C31513">
      <w:pPr>
        <w:ind w:leftChars="100" w:left="210"/>
      </w:pPr>
      <w:r>
        <w:rPr>
          <w:rFonts w:hint="eastAsia"/>
        </w:rPr>
        <w:t>受配者は、次の事項を誓約し、履行しなくてはならない。</w:t>
      </w:r>
    </w:p>
    <w:p w14:paraId="39A45167" w14:textId="77777777" w:rsidR="0015696D" w:rsidRDefault="0015696D"/>
    <w:p w14:paraId="26D3215C" w14:textId="23240841" w:rsidR="0015696D" w:rsidRDefault="0015696D" w:rsidP="00C31513">
      <w:pPr>
        <w:numPr>
          <w:ilvl w:val="0"/>
          <w:numId w:val="12"/>
        </w:numPr>
        <w:spacing w:afterLines="50" w:after="180"/>
        <w:ind w:left="425" w:hanging="425"/>
      </w:pPr>
      <w:r>
        <w:rPr>
          <w:rFonts w:hint="eastAsia"/>
        </w:rPr>
        <w:t>配分金は、指定された使途以外に使用してはならない。ただし、予め本会の承認を受けたものはこの限りでない。</w:t>
      </w:r>
    </w:p>
    <w:p w14:paraId="75277B77" w14:textId="37AA4BD7" w:rsidR="0015696D" w:rsidRDefault="0015696D" w:rsidP="00C31513">
      <w:pPr>
        <w:numPr>
          <w:ilvl w:val="0"/>
          <w:numId w:val="12"/>
        </w:numPr>
        <w:spacing w:afterLines="50" w:after="180"/>
        <w:ind w:left="425" w:hanging="425"/>
      </w:pPr>
      <w:r>
        <w:rPr>
          <w:rFonts w:hint="eastAsia"/>
        </w:rPr>
        <w:t>配分金の経理については、明確にしておかなくてはならない。また施設への配分については、本部会計を経て施設会計で処理</w:t>
      </w:r>
      <w:r w:rsidR="00C31513">
        <w:rPr>
          <w:rFonts w:hint="eastAsia"/>
        </w:rPr>
        <w:t>するものとする。</w:t>
      </w:r>
    </w:p>
    <w:p w14:paraId="6D47E451" w14:textId="77777777" w:rsidR="0015696D" w:rsidRDefault="0015696D" w:rsidP="00C31513">
      <w:pPr>
        <w:numPr>
          <w:ilvl w:val="0"/>
          <w:numId w:val="12"/>
        </w:numPr>
        <w:spacing w:afterLines="50" w:after="180"/>
        <w:ind w:left="425" w:hanging="425"/>
      </w:pPr>
      <w:r>
        <w:rPr>
          <w:rFonts w:hint="eastAsia"/>
        </w:rPr>
        <w:t>事業の中止、廃止、変更又は処分する場合は配分金を返還するものとする。</w:t>
      </w:r>
    </w:p>
    <w:p w14:paraId="2B3BCF8F" w14:textId="45DB77BB" w:rsidR="0015696D" w:rsidRDefault="0015696D" w:rsidP="00C31513">
      <w:pPr>
        <w:numPr>
          <w:ilvl w:val="0"/>
          <w:numId w:val="12"/>
        </w:numPr>
        <w:spacing w:afterLines="50" w:after="180"/>
        <w:ind w:left="425" w:hanging="425"/>
      </w:pPr>
      <w:r>
        <w:rPr>
          <w:rFonts w:hint="eastAsia"/>
        </w:rPr>
        <w:t>配分金により取得した物件に対しては、善良なる管理を行うとともに、管理期間を備品類５年・建物類１０年間においてその物件を譲渡、交換、貸付、又は担保に供し、もしくは改廃しようとするときは、予めその理由を記載した申請書を本会に提出したその承認を受けなければならない。</w:t>
      </w:r>
    </w:p>
    <w:p w14:paraId="135F7DB1" w14:textId="77777777" w:rsidR="0015696D" w:rsidRDefault="0015696D" w:rsidP="00C31513">
      <w:pPr>
        <w:numPr>
          <w:ilvl w:val="0"/>
          <w:numId w:val="12"/>
        </w:numPr>
        <w:spacing w:afterLines="50" w:after="180"/>
        <w:ind w:left="425" w:hanging="425"/>
      </w:pPr>
      <w:r>
        <w:rPr>
          <w:rFonts w:hint="eastAsia"/>
        </w:rPr>
        <w:t>諸報告書の提出、事業内容、会計経理の調査を求められた場合はこれに応ずること。</w:t>
      </w:r>
    </w:p>
    <w:p w14:paraId="7B1F6C6D" w14:textId="0DEE353C" w:rsidR="0015696D" w:rsidRDefault="0015696D" w:rsidP="00C31513">
      <w:pPr>
        <w:pStyle w:val="a7"/>
        <w:numPr>
          <w:ilvl w:val="0"/>
          <w:numId w:val="12"/>
        </w:numPr>
        <w:spacing w:afterLines="50" w:after="180"/>
        <w:ind w:leftChars="0" w:left="425" w:hanging="425"/>
      </w:pPr>
      <w:r w:rsidRPr="00C31513">
        <w:rPr>
          <w:rFonts w:hint="eastAsia"/>
          <w:u w:val="single"/>
        </w:rPr>
        <w:t>共同募金受配工事あるいは機器であることを、標識又はステッカー等で明示する他、機関紙等で会員や利用者等への広報活動を行うこと。</w:t>
      </w:r>
    </w:p>
    <w:p w14:paraId="4D1A5F82" w14:textId="13FFC29C" w:rsidR="0015696D" w:rsidRPr="00315D45" w:rsidRDefault="0015696D" w:rsidP="00C31513">
      <w:pPr>
        <w:numPr>
          <w:ilvl w:val="0"/>
          <w:numId w:val="12"/>
        </w:numPr>
        <w:spacing w:afterLines="50" w:after="180"/>
        <w:ind w:left="425" w:hanging="425"/>
        <w:rPr>
          <w:u w:val="single"/>
        </w:rPr>
      </w:pPr>
      <w:r w:rsidRPr="00315D45">
        <w:rPr>
          <w:rFonts w:hint="eastAsia"/>
          <w:u w:val="single"/>
        </w:rPr>
        <w:t>配分金で配実施する各種研修会、大会、講座等で使用する資料には、「この研修会あるいは大会、講座等」資料は共同募金配分金で作成された旨の語句を印刷するとともに看板等の表示をすること。</w:t>
      </w:r>
    </w:p>
    <w:p w14:paraId="79482BBF" w14:textId="47F14E11" w:rsidR="0015696D" w:rsidRDefault="0015696D" w:rsidP="00C31513">
      <w:pPr>
        <w:numPr>
          <w:ilvl w:val="0"/>
          <w:numId w:val="12"/>
        </w:numPr>
        <w:spacing w:afterLines="50" w:after="180"/>
        <w:ind w:left="425" w:hanging="425"/>
      </w:pPr>
      <w:r>
        <w:rPr>
          <w:rFonts w:hint="eastAsia"/>
        </w:rPr>
        <w:t>臨時費配分については、事業完了後１５日以内に別紙事業完了報告書を作成して本会長宛提出するとともに、事業年度終了後２ケ月以内に受配団体又は施設の事業報告及び決算書を本会会長宛提出すること。</w:t>
      </w:r>
    </w:p>
    <w:p w14:paraId="187F42CB" w14:textId="181C9EE9" w:rsidR="0015696D" w:rsidRDefault="0015696D" w:rsidP="00C31513">
      <w:pPr>
        <w:numPr>
          <w:ilvl w:val="0"/>
          <w:numId w:val="12"/>
        </w:numPr>
        <w:spacing w:afterLines="50" w:after="180"/>
        <w:ind w:left="425" w:hanging="425"/>
      </w:pPr>
      <w:r>
        <w:rPr>
          <w:rFonts w:hint="eastAsia"/>
        </w:rPr>
        <w:t>経常費配分については、事業年度終了後２ケ月以内に事業報告書、決算書及び関連資料を本会会長宛提出すること。</w:t>
      </w:r>
    </w:p>
    <w:sectPr w:rsidR="0015696D" w:rsidSect="00315D45">
      <w:pgSz w:w="11906" w:h="16838" w:code="9"/>
      <w:pgMar w:top="1701" w:right="1418"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68C3E" w14:textId="77777777" w:rsidR="006750E6" w:rsidRDefault="006750E6" w:rsidP="001049E1">
      <w:r>
        <w:separator/>
      </w:r>
    </w:p>
  </w:endnote>
  <w:endnote w:type="continuationSeparator" w:id="0">
    <w:p w14:paraId="37742917" w14:textId="77777777" w:rsidR="006750E6" w:rsidRDefault="006750E6" w:rsidP="0010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79396" w14:textId="77777777" w:rsidR="006750E6" w:rsidRDefault="006750E6" w:rsidP="001049E1">
      <w:r>
        <w:separator/>
      </w:r>
    </w:p>
  </w:footnote>
  <w:footnote w:type="continuationSeparator" w:id="0">
    <w:p w14:paraId="240D67C5" w14:textId="77777777" w:rsidR="006750E6" w:rsidRDefault="006750E6" w:rsidP="00104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808E1"/>
    <w:multiLevelType w:val="hybridMultilevel"/>
    <w:tmpl w:val="92BCA974"/>
    <w:lvl w:ilvl="0" w:tplc="56D6D4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118E6"/>
    <w:multiLevelType w:val="hybridMultilevel"/>
    <w:tmpl w:val="D500F700"/>
    <w:lvl w:ilvl="0" w:tplc="A3EE8DD2">
      <w:start w:val="1"/>
      <w:numFmt w:val="decimalFullWidth"/>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F9F499C"/>
    <w:multiLevelType w:val="singleLevel"/>
    <w:tmpl w:val="8F2C084A"/>
    <w:lvl w:ilvl="0">
      <w:start w:val="4"/>
      <w:numFmt w:val="decimalFullWidth"/>
      <w:lvlText w:val="%1．"/>
      <w:lvlJc w:val="left"/>
      <w:pPr>
        <w:tabs>
          <w:tab w:val="num" w:pos="420"/>
        </w:tabs>
        <w:ind w:left="420" w:hanging="420"/>
      </w:pPr>
      <w:rPr>
        <w:rFonts w:hint="eastAsia"/>
      </w:rPr>
    </w:lvl>
  </w:abstractNum>
  <w:abstractNum w:abstractNumId="3" w15:restartNumberingAfterBreak="0">
    <w:nsid w:val="20E93A17"/>
    <w:multiLevelType w:val="singleLevel"/>
    <w:tmpl w:val="A3EE8DD2"/>
    <w:lvl w:ilvl="0">
      <w:start w:val="1"/>
      <w:numFmt w:val="decimalFullWidth"/>
      <w:lvlText w:val="（%1）"/>
      <w:lvlJc w:val="left"/>
      <w:pPr>
        <w:tabs>
          <w:tab w:val="num" w:pos="840"/>
        </w:tabs>
        <w:ind w:left="840" w:hanging="630"/>
      </w:pPr>
      <w:rPr>
        <w:rFonts w:hint="eastAsia"/>
      </w:rPr>
    </w:lvl>
  </w:abstractNum>
  <w:abstractNum w:abstractNumId="4" w15:restartNumberingAfterBreak="0">
    <w:nsid w:val="2A913FEF"/>
    <w:multiLevelType w:val="hybridMultilevel"/>
    <w:tmpl w:val="EEE8CFB0"/>
    <w:lvl w:ilvl="0" w:tplc="0608AF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D1316"/>
    <w:multiLevelType w:val="singleLevel"/>
    <w:tmpl w:val="0CF80734"/>
    <w:lvl w:ilvl="0">
      <w:start w:val="6"/>
      <w:numFmt w:val="decimalFullWidth"/>
      <w:lvlText w:val="%1．"/>
      <w:lvlJc w:val="left"/>
      <w:pPr>
        <w:tabs>
          <w:tab w:val="num" w:pos="420"/>
        </w:tabs>
        <w:ind w:left="420" w:hanging="420"/>
      </w:pPr>
      <w:rPr>
        <w:rFonts w:hint="eastAsia"/>
      </w:rPr>
    </w:lvl>
  </w:abstractNum>
  <w:abstractNum w:abstractNumId="6" w15:restartNumberingAfterBreak="0">
    <w:nsid w:val="412B3EF4"/>
    <w:multiLevelType w:val="singleLevel"/>
    <w:tmpl w:val="05968B3A"/>
    <w:lvl w:ilvl="0">
      <w:start w:val="1"/>
      <w:numFmt w:val="decimalFullWidth"/>
      <w:suff w:val="space"/>
      <w:lvlText w:val="%1"/>
      <w:lvlJc w:val="left"/>
      <w:pPr>
        <w:ind w:left="420" w:hanging="420"/>
      </w:pPr>
      <w:rPr>
        <w:rFonts w:hint="eastAsia"/>
      </w:rPr>
    </w:lvl>
  </w:abstractNum>
  <w:abstractNum w:abstractNumId="7" w15:restartNumberingAfterBreak="0">
    <w:nsid w:val="50615671"/>
    <w:multiLevelType w:val="hybridMultilevel"/>
    <w:tmpl w:val="12883774"/>
    <w:lvl w:ilvl="0" w:tplc="44C8FF2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2455C61"/>
    <w:multiLevelType w:val="hybridMultilevel"/>
    <w:tmpl w:val="80D855E2"/>
    <w:lvl w:ilvl="0" w:tplc="E70E84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E7714A"/>
    <w:multiLevelType w:val="hybridMultilevel"/>
    <w:tmpl w:val="74927BCC"/>
    <w:lvl w:ilvl="0" w:tplc="98D6F1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AA3EB6"/>
    <w:multiLevelType w:val="hybridMultilevel"/>
    <w:tmpl w:val="053ADD18"/>
    <w:lvl w:ilvl="0" w:tplc="56D6D4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DC5221"/>
    <w:multiLevelType w:val="singleLevel"/>
    <w:tmpl w:val="DFDA39F0"/>
    <w:lvl w:ilvl="0">
      <w:start w:val="1"/>
      <w:numFmt w:val="decimalFullWidth"/>
      <w:lvlText w:val="%1．"/>
      <w:lvlJc w:val="left"/>
      <w:pPr>
        <w:tabs>
          <w:tab w:val="num" w:pos="420"/>
        </w:tabs>
        <w:ind w:left="420" w:hanging="420"/>
      </w:pPr>
      <w:rPr>
        <w:rFonts w:hint="eastAsia"/>
      </w:rPr>
    </w:lvl>
  </w:abstractNum>
  <w:num w:numId="1">
    <w:abstractNumId w:val="6"/>
  </w:num>
  <w:num w:numId="2">
    <w:abstractNumId w:val="3"/>
  </w:num>
  <w:num w:numId="3">
    <w:abstractNumId w:val="2"/>
  </w:num>
  <w:num w:numId="4">
    <w:abstractNumId w:val="11"/>
  </w:num>
  <w:num w:numId="5">
    <w:abstractNumId w:val="5"/>
  </w:num>
  <w:num w:numId="6">
    <w:abstractNumId w:val="10"/>
  </w:num>
  <w:num w:numId="7">
    <w:abstractNumId w:val="8"/>
  </w:num>
  <w:num w:numId="8">
    <w:abstractNumId w:val="7"/>
  </w:num>
  <w:num w:numId="9">
    <w:abstractNumId w:val="0"/>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04"/>
    <w:rsid w:val="000D7D4B"/>
    <w:rsid w:val="001049E1"/>
    <w:rsid w:val="0015696D"/>
    <w:rsid w:val="002F3E12"/>
    <w:rsid w:val="00315D45"/>
    <w:rsid w:val="006750E6"/>
    <w:rsid w:val="008E2826"/>
    <w:rsid w:val="00AE4D51"/>
    <w:rsid w:val="00C31513"/>
    <w:rsid w:val="00E13E04"/>
    <w:rsid w:val="00EC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FB8D96"/>
  <w15:chartTrackingRefBased/>
  <w15:docId w15:val="{1A6DE5D1-62F2-43CE-A473-E08487E8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49E1"/>
    <w:pPr>
      <w:tabs>
        <w:tab w:val="center" w:pos="4252"/>
        <w:tab w:val="right" w:pos="8504"/>
      </w:tabs>
      <w:snapToGrid w:val="0"/>
    </w:pPr>
  </w:style>
  <w:style w:type="character" w:customStyle="1" w:styleId="a4">
    <w:name w:val="ヘッダー (文字)"/>
    <w:basedOn w:val="a0"/>
    <w:link w:val="a3"/>
    <w:rsid w:val="001049E1"/>
    <w:rPr>
      <w:kern w:val="2"/>
      <w:sz w:val="21"/>
    </w:rPr>
  </w:style>
  <w:style w:type="paragraph" w:styleId="a5">
    <w:name w:val="footer"/>
    <w:basedOn w:val="a"/>
    <w:link w:val="a6"/>
    <w:rsid w:val="001049E1"/>
    <w:pPr>
      <w:tabs>
        <w:tab w:val="center" w:pos="4252"/>
        <w:tab w:val="right" w:pos="8504"/>
      </w:tabs>
      <w:snapToGrid w:val="0"/>
    </w:pPr>
  </w:style>
  <w:style w:type="character" w:customStyle="1" w:styleId="a6">
    <w:name w:val="フッター (文字)"/>
    <w:basedOn w:val="a0"/>
    <w:link w:val="a5"/>
    <w:rsid w:val="001049E1"/>
    <w:rPr>
      <w:kern w:val="2"/>
      <w:sz w:val="21"/>
    </w:rPr>
  </w:style>
  <w:style w:type="paragraph" w:styleId="a7">
    <w:name w:val="List Paragraph"/>
    <w:basedOn w:val="a"/>
    <w:uiPriority w:val="34"/>
    <w:qFormat/>
    <w:rsid w:val="00315D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c9e20681-0d55-48b2-9928-22c41676d23d" xsi:nil="true"/>
    <lcf76f155ced4ddcb4097134ff3c332f xmlns="fd8fb349-41d4-4323-9884-44ffbcc7886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6" ma:contentTypeDescription="新しいドキュメントを作成します。" ma:contentTypeScope="" ma:versionID="f753e975f90077af34abf0ccd15b4a85">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1d613bbec153d109a5aa74454a10442d"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387357-f7f3-48bc-8976-aaeaaf03e4d4}" ma:internalName="TaxCatchAll" ma:showField="CatchAllData" ma:web="c9e20681-0d55-48b2-9928-22c41676d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df948e-f915-4108-982d-ac29c51f440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6F6AC-C08F-4892-A613-A0E56C21E41E}">
  <ds:schemaRefs>
    <ds:schemaRef ds:uri="http://schemas.microsoft.com/sharepoint/v3/contenttype/forms"/>
  </ds:schemaRefs>
</ds:datastoreItem>
</file>

<file path=customXml/itemProps2.xml><?xml version="1.0" encoding="utf-8"?>
<ds:datastoreItem xmlns:ds="http://schemas.openxmlformats.org/officeDocument/2006/customXml" ds:itemID="{699A6B6C-6EFA-453D-8810-3F7C458D0C31}">
  <ds:schemaRefs>
    <ds:schemaRef ds:uri="http://schemas.microsoft.com/office/2006/metadata/longProperties"/>
  </ds:schemaRefs>
</ds:datastoreItem>
</file>

<file path=customXml/itemProps3.xml><?xml version="1.0" encoding="utf-8"?>
<ds:datastoreItem xmlns:ds="http://schemas.openxmlformats.org/officeDocument/2006/customXml" ds:itemID="{B98A038A-6F6D-44AA-957C-22567633E5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72BB75-B0DF-4C0A-9741-97B9E8ACE436}"/>
</file>

<file path=docProps/app.xml><?xml version="1.0" encoding="utf-8"?>
<Properties xmlns="http://schemas.openxmlformats.org/officeDocument/2006/extended-properties" xmlns:vt="http://schemas.openxmlformats.org/officeDocument/2006/docPropsVTypes">
  <Template>Normal.dotm</Template>
  <TotalTime>24</TotalTime>
  <Pages>2</Pages>
  <Words>227</Words>
  <Characters>1298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良章</dc:creator>
  <cp:keywords/>
  <cp:lastModifiedBy>山内 良章</cp:lastModifiedBy>
  <cp:revision>4</cp:revision>
  <cp:lastPrinted>2002-11-27T01:46:00Z</cp:lastPrinted>
  <dcterms:created xsi:type="dcterms:W3CDTF">2020-09-24T05:31:00Z</dcterms:created>
  <dcterms:modified xsi:type="dcterms:W3CDTF">2021-04-01T07:07:00Z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540800.000000000</vt:lpwstr>
  </property>
  <property fmtid="{D5CDD505-2E9C-101B-9397-08002B2CF9AE}" pid="3" name="ContentTypeId">
    <vt:lpwstr>0x01010060E40DF85362DD42A906F50360C4E193</vt:lpwstr>
  </property>
</Properties>
</file>